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754" w:rsidRPr="00517754" w:rsidRDefault="00517754" w:rsidP="002921C6">
      <w:pPr>
        <w:spacing w:line="240" w:lineRule="auto"/>
        <w:ind w:left="7371" w:hanging="425"/>
        <w:rPr>
          <w:b/>
          <w:sz w:val="20"/>
          <w:szCs w:val="20"/>
        </w:rPr>
      </w:pPr>
      <w:r w:rsidRPr="00517754">
        <w:rPr>
          <w:b/>
          <w:sz w:val="20"/>
          <w:szCs w:val="20"/>
        </w:rPr>
        <w:t>Приложение</w:t>
      </w:r>
      <w:r w:rsidR="002921C6">
        <w:rPr>
          <w:b/>
          <w:sz w:val="20"/>
          <w:szCs w:val="20"/>
        </w:rPr>
        <w:t xml:space="preserve"> № 2</w:t>
      </w:r>
    </w:p>
    <w:p w:rsidR="00517754" w:rsidRPr="00517754" w:rsidRDefault="00517754" w:rsidP="002921C6">
      <w:pPr>
        <w:spacing w:line="240" w:lineRule="auto"/>
        <w:ind w:left="7371" w:hanging="425"/>
        <w:rPr>
          <w:sz w:val="20"/>
          <w:szCs w:val="20"/>
        </w:rPr>
      </w:pPr>
      <w:r w:rsidRPr="00517754">
        <w:rPr>
          <w:sz w:val="20"/>
          <w:szCs w:val="20"/>
        </w:rPr>
        <w:t xml:space="preserve">к постановлению </w:t>
      </w:r>
      <w:r w:rsidR="002921C6">
        <w:rPr>
          <w:sz w:val="20"/>
          <w:szCs w:val="20"/>
        </w:rPr>
        <w:t>администрации</w:t>
      </w:r>
    </w:p>
    <w:p w:rsidR="00517754" w:rsidRDefault="00517754" w:rsidP="002921C6">
      <w:pPr>
        <w:spacing w:after="120" w:line="300" w:lineRule="auto"/>
        <w:ind w:left="7371" w:hanging="425"/>
        <w:rPr>
          <w:sz w:val="20"/>
          <w:szCs w:val="20"/>
        </w:rPr>
      </w:pPr>
      <w:r w:rsidRPr="00517754">
        <w:rPr>
          <w:sz w:val="20"/>
          <w:szCs w:val="20"/>
        </w:rPr>
        <w:t xml:space="preserve">города Благовещенска </w:t>
      </w:r>
    </w:p>
    <w:p w:rsidR="005A5443" w:rsidRPr="00517754" w:rsidRDefault="00517754" w:rsidP="002921C6">
      <w:pPr>
        <w:spacing w:after="120" w:line="300" w:lineRule="auto"/>
        <w:ind w:left="7371" w:hanging="425"/>
        <w:rPr>
          <w:spacing w:val="20"/>
          <w:sz w:val="20"/>
          <w:szCs w:val="20"/>
        </w:rPr>
      </w:pPr>
      <w:r w:rsidRPr="00517754">
        <w:rPr>
          <w:sz w:val="20"/>
          <w:szCs w:val="20"/>
        </w:rPr>
        <w:t>от</w:t>
      </w:r>
      <w:r w:rsidR="00A45A01">
        <w:rPr>
          <w:sz w:val="20"/>
          <w:szCs w:val="20"/>
        </w:rPr>
        <w:t xml:space="preserve"> 20.12.2017</w:t>
      </w:r>
      <w:r w:rsidRPr="00517754">
        <w:rPr>
          <w:sz w:val="20"/>
          <w:szCs w:val="20"/>
        </w:rPr>
        <w:t xml:space="preserve"> №</w:t>
      </w:r>
      <w:r w:rsidR="00A45A01">
        <w:rPr>
          <w:sz w:val="20"/>
          <w:szCs w:val="20"/>
        </w:rPr>
        <w:t xml:space="preserve"> 4647</w:t>
      </w:r>
      <w:bookmarkStart w:id="0" w:name="_GoBack"/>
      <w:bookmarkEnd w:id="0"/>
    </w:p>
    <w:p w:rsidR="005A5443" w:rsidRDefault="005A5443" w:rsidP="002921C6">
      <w:pPr>
        <w:spacing w:after="120" w:line="300" w:lineRule="auto"/>
        <w:ind w:hanging="425"/>
        <w:jc w:val="both"/>
        <w:rPr>
          <w:b/>
          <w:caps/>
          <w:spacing w:val="20"/>
          <w:sz w:val="20"/>
          <w:szCs w:val="20"/>
        </w:rPr>
      </w:pPr>
    </w:p>
    <w:p w:rsidR="00680186" w:rsidRDefault="00680186" w:rsidP="00680186">
      <w:pPr>
        <w:spacing w:after="120" w:line="300" w:lineRule="auto"/>
        <w:jc w:val="both"/>
        <w:rPr>
          <w:b/>
          <w:caps/>
          <w:spacing w:val="20"/>
          <w:sz w:val="20"/>
          <w:szCs w:val="20"/>
        </w:rPr>
      </w:pPr>
      <w:r w:rsidRPr="00680186">
        <w:rPr>
          <w:b/>
          <w:caps/>
          <w:spacing w:val="20"/>
          <w:sz w:val="20"/>
          <w:szCs w:val="20"/>
        </w:rPr>
        <w:t xml:space="preserve">Проект планировки территории и проект межевания территории, предназначенной для размещения линейного объекта - автомобильной дороги по ул. Шафира от ул. 50 лет Октября до ул. Муравьева-Амурского, по ул. Зеленая от ул. Новотроицкое шоссе до ул. 50 лет Октября </w:t>
      </w:r>
      <w:r>
        <w:rPr>
          <w:b/>
          <w:caps/>
          <w:spacing w:val="20"/>
          <w:sz w:val="20"/>
          <w:szCs w:val="20"/>
        </w:rPr>
        <w:t xml:space="preserve">                 </w:t>
      </w:r>
      <w:r w:rsidRPr="00680186">
        <w:rPr>
          <w:b/>
          <w:caps/>
          <w:spacing w:val="20"/>
          <w:sz w:val="20"/>
          <w:szCs w:val="20"/>
        </w:rPr>
        <w:t>города БЛАГОВЕЩЕНСКА</w:t>
      </w:r>
    </w:p>
    <w:p w:rsidR="00680186" w:rsidRPr="00680186" w:rsidRDefault="00680186" w:rsidP="00680186">
      <w:pPr>
        <w:spacing w:after="120" w:line="300" w:lineRule="auto"/>
        <w:jc w:val="both"/>
        <w:rPr>
          <w:caps/>
          <w:sz w:val="20"/>
          <w:szCs w:val="20"/>
        </w:rPr>
      </w:pPr>
    </w:p>
    <w:p w:rsidR="00680186" w:rsidRPr="00635E87" w:rsidRDefault="00680186" w:rsidP="00680186">
      <w:pPr>
        <w:spacing w:after="120" w:line="300" w:lineRule="auto"/>
        <w:jc w:val="both"/>
        <w:rPr>
          <w:b/>
          <w:sz w:val="20"/>
          <w:szCs w:val="20"/>
        </w:rPr>
      </w:pPr>
      <w:r w:rsidRPr="00635E87">
        <w:rPr>
          <w:b/>
          <w:sz w:val="20"/>
          <w:szCs w:val="20"/>
        </w:rPr>
        <w:t>Раздел 2. «Положение о размещение линейных объектов»</w:t>
      </w:r>
    </w:p>
    <w:p w:rsidR="00680186" w:rsidRPr="00680186" w:rsidRDefault="00680186" w:rsidP="00680186">
      <w:pPr>
        <w:spacing w:after="120" w:line="300" w:lineRule="auto"/>
        <w:rPr>
          <w:b/>
          <w:snapToGrid w:val="0"/>
          <w:sz w:val="20"/>
          <w:szCs w:val="20"/>
        </w:rPr>
      </w:pPr>
      <w:r w:rsidRPr="00680186">
        <w:rPr>
          <w:b/>
          <w:sz w:val="20"/>
          <w:szCs w:val="20"/>
        </w:rPr>
        <w:t xml:space="preserve">Заказчик: </w:t>
      </w:r>
      <w:r w:rsidRPr="00680186">
        <w:rPr>
          <w:snapToGrid w:val="0"/>
          <w:sz w:val="20"/>
          <w:szCs w:val="20"/>
        </w:rPr>
        <w:t>Администрация города Благовещенска Амурской области</w:t>
      </w:r>
      <w:r w:rsidRPr="00680186">
        <w:rPr>
          <w:b/>
          <w:snapToGrid w:val="0"/>
          <w:sz w:val="20"/>
          <w:szCs w:val="20"/>
        </w:rPr>
        <w:t xml:space="preserve"> </w:t>
      </w:r>
    </w:p>
    <w:p w:rsidR="00680186" w:rsidRPr="00680186" w:rsidRDefault="00680186" w:rsidP="00680186">
      <w:pPr>
        <w:spacing w:after="120" w:line="300" w:lineRule="auto"/>
        <w:rPr>
          <w:sz w:val="20"/>
          <w:szCs w:val="20"/>
        </w:rPr>
      </w:pPr>
      <w:r w:rsidRPr="00680186">
        <w:rPr>
          <w:b/>
          <w:sz w:val="20"/>
          <w:szCs w:val="20"/>
        </w:rPr>
        <w:t xml:space="preserve">Муниципальный контракт: </w:t>
      </w:r>
      <w:r w:rsidRPr="00680186">
        <w:rPr>
          <w:sz w:val="20"/>
          <w:szCs w:val="20"/>
        </w:rPr>
        <w:t>№ 89 от 30 июня 2017 года</w:t>
      </w:r>
    </w:p>
    <w:p w:rsidR="00680186" w:rsidRDefault="00680186" w:rsidP="00680186">
      <w:pPr>
        <w:spacing w:line="300" w:lineRule="auto"/>
        <w:jc w:val="both"/>
        <w:rPr>
          <w:sz w:val="20"/>
          <w:szCs w:val="20"/>
        </w:rPr>
      </w:pPr>
      <w:r w:rsidRPr="00680186">
        <w:rPr>
          <w:b/>
          <w:sz w:val="20"/>
          <w:szCs w:val="20"/>
        </w:rPr>
        <w:t>Проектировщик:</w:t>
      </w:r>
      <w:r w:rsidRPr="00680186">
        <w:rPr>
          <w:sz w:val="20"/>
          <w:szCs w:val="20"/>
        </w:rPr>
        <w:t xml:space="preserve"> ООО НИИ «Земля и город» (город Нижний Новгород)</w:t>
      </w:r>
      <w:bookmarkStart w:id="1" w:name="_Toc351479856"/>
      <w:bookmarkStart w:id="2" w:name="_Toc462152548"/>
      <w:bookmarkStart w:id="3" w:name="_Toc497821555"/>
    </w:p>
    <w:p w:rsidR="00680186" w:rsidRPr="00680186" w:rsidRDefault="00680186" w:rsidP="00680186">
      <w:pPr>
        <w:spacing w:line="300" w:lineRule="auto"/>
        <w:jc w:val="both"/>
        <w:rPr>
          <w:sz w:val="20"/>
          <w:szCs w:val="20"/>
        </w:rPr>
      </w:pPr>
    </w:p>
    <w:p w:rsidR="00680186" w:rsidRPr="00680186" w:rsidRDefault="00680186" w:rsidP="00680186">
      <w:pPr>
        <w:spacing w:line="300" w:lineRule="auto"/>
        <w:rPr>
          <w:b/>
          <w:sz w:val="20"/>
          <w:szCs w:val="20"/>
        </w:rPr>
      </w:pPr>
      <w:r w:rsidRPr="00680186">
        <w:rPr>
          <w:b/>
          <w:caps/>
          <w:sz w:val="20"/>
          <w:szCs w:val="20"/>
        </w:rPr>
        <w:t xml:space="preserve">ЧАСТЬ 1. </w:t>
      </w:r>
      <w:bookmarkEnd w:id="1"/>
      <w:bookmarkEnd w:id="2"/>
      <w:r w:rsidRPr="00680186">
        <w:rPr>
          <w:b/>
          <w:caps/>
          <w:sz w:val="20"/>
          <w:szCs w:val="20"/>
        </w:rPr>
        <w:t>ОСНОВНЫЕ ХАРАКТЕРИСТИКИ ЛИНЕЙНЫХ ОБЪЕКТОВ</w:t>
      </w:r>
      <w:bookmarkEnd w:id="3"/>
    </w:p>
    <w:p w:rsidR="00680186" w:rsidRPr="00680186" w:rsidRDefault="00680186" w:rsidP="00680186">
      <w:pPr>
        <w:autoSpaceDE w:val="0"/>
        <w:autoSpaceDN w:val="0"/>
        <w:adjustRightInd w:val="0"/>
        <w:ind w:firstLine="709"/>
        <w:contextualSpacing w:val="0"/>
        <w:jc w:val="both"/>
        <w:rPr>
          <w:sz w:val="20"/>
          <w:szCs w:val="20"/>
          <w:lang w:eastAsia="ru-RU"/>
        </w:rPr>
      </w:pPr>
      <w:r w:rsidRPr="00680186">
        <w:rPr>
          <w:sz w:val="20"/>
          <w:szCs w:val="20"/>
          <w:lang w:eastAsia="ru-RU"/>
        </w:rPr>
        <w:t>Наименование, основные характеристики (категория, протяженность) и назначение планируемых для размещения линейных объектов представлены в таблице 1.1</w:t>
      </w:r>
    </w:p>
    <w:p w:rsidR="00680186" w:rsidRPr="00680186" w:rsidRDefault="00680186" w:rsidP="00680186">
      <w:pPr>
        <w:spacing w:line="300" w:lineRule="auto"/>
        <w:jc w:val="right"/>
        <w:rPr>
          <w:sz w:val="20"/>
          <w:szCs w:val="20"/>
        </w:rPr>
      </w:pPr>
      <w:r w:rsidRPr="00680186">
        <w:rPr>
          <w:sz w:val="20"/>
          <w:szCs w:val="20"/>
        </w:rPr>
        <w:t>Таблица 1.1</w:t>
      </w:r>
    </w:p>
    <w:p w:rsidR="00680186" w:rsidRPr="00680186" w:rsidRDefault="00680186" w:rsidP="00680186">
      <w:pPr>
        <w:spacing w:line="300" w:lineRule="auto"/>
        <w:jc w:val="center"/>
        <w:rPr>
          <w:sz w:val="20"/>
          <w:szCs w:val="20"/>
        </w:rPr>
      </w:pPr>
      <w:r w:rsidRPr="00680186">
        <w:rPr>
          <w:sz w:val="20"/>
          <w:szCs w:val="20"/>
        </w:rPr>
        <w:t>Основные характеристики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389"/>
        <w:gridCol w:w="1316"/>
        <w:gridCol w:w="1610"/>
        <w:gridCol w:w="1752"/>
      </w:tblGrid>
      <w:tr w:rsidR="00680186" w:rsidRPr="00680186" w:rsidTr="009375B1">
        <w:trPr>
          <w:trHeight w:val="20"/>
          <w:tblHeader/>
        </w:trPr>
        <w:tc>
          <w:tcPr>
            <w:tcW w:w="426" w:type="pct"/>
            <w:shd w:val="clear" w:color="auto" w:fill="auto"/>
            <w:vAlign w:val="center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14" w:type="pct"/>
            <w:shd w:val="clear" w:color="auto" w:fill="auto"/>
            <w:vAlign w:val="center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680186" w:rsidRPr="00680186" w:rsidRDefault="00680186" w:rsidP="009375B1">
            <w:pPr>
              <w:spacing w:line="240" w:lineRule="auto"/>
              <w:ind w:right="-73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Примечания</w:t>
            </w:r>
          </w:p>
        </w:tc>
      </w:tr>
    </w:tbl>
    <w:p w:rsidR="00680186" w:rsidRPr="00680186" w:rsidRDefault="00680186" w:rsidP="00680186">
      <w:pPr>
        <w:jc w:val="center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4389"/>
        <w:gridCol w:w="1316"/>
        <w:gridCol w:w="1610"/>
        <w:gridCol w:w="1748"/>
      </w:tblGrid>
      <w:tr w:rsidR="00680186" w:rsidRPr="00680186" w:rsidTr="009375B1">
        <w:trPr>
          <w:trHeight w:val="20"/>
          <w:tblHeader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ind w:right="-73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80186" w:rsidRPr="00680186" w:rsidTr="009375B1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80186">
              <w:rPr>
                <w:b/>
                <w:sz w:val="20"/>
                <w:szCs w:val="20"/>
              </w:rPr>
              <w:t>Транспортная инфраструктура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before="100" w:beforeAutospacing="1"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 xml:space="preserve">Автомобильная дорога по ул. </w:t>
            </w:r>
            <w:proofErr w:type="spellStart"/>
            <w:r w:rsidRPr="00680186">
              <w:rPr>
                <w:sz w:val="20"/>
                <w:szCs w:val="20"/>
              </w:rPr>
              <w:t>Шафира</w:t>
            </w:r>
            <w:proofErr w:type="spellEnd"/>
            <w:r w:rsidRPr="00680186">
              <w:rPr>
                <w:sz w:val="20"/>
                <w:szCs w:val="20"/>
              </w:rPr>
              <w:t xml:space="preserve"> от ул. 50 лет Октября до ул. Муравьева-Амурского города Благовещенска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6 полос движения,</w:t>
            </w:r>
          </w:p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Магистральная улица общегородского значения регулируемого движения, новое строительство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Автомобильная дорога по ул. Зеленая от ул. Новотроицкое шоссе до ул. 50 лет Октября города Благовещенска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0,89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4 полосы движения,</w:t>
            </w:r>
          </w:p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Магистральная улица районного значения транспортно-пешеходная, новое строительство</w:t>
            </w:r>
          </w:p>
        </w:tc>
      </w:tr>
      <w:tr w:rsidR="00680186" w:rsidRPr="00680186" w:rsidTr="009375B1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80186">
              <w:rPr>
                <w:b/>
                <w:sz w:val="20"/>
                <w:szCs w:val="20"/>
              </w:rPr>
              <w:t>Инженерная инфраструктура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  <w:lang w:eastAsia="x-none"/>
              </w:rPr>
              <w:t>Водопровод хозяйственно-питьевой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tabs>
                <w:tab w:val="left" w:pos="426"/>
                <w:tab w:val="center" w:pos="512"/>
              </w:tabs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1,69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новое строительство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  <w:lang w:eastAsia="x-none"/>
              </w:rPr>
              <w:t>Канализация бытовая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1,61</w:t>
            </w:r>
          </w:p>
        </w:tc>
        <w:tc>
          <w:tcPr>
            <w:tcW w:w="883" w:type="pct"/>
            <w:vMerge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  <w:lang w:eastAsia="x-none"/>
              </w:rPr>
              <w:t>Сети теплоснабжения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1,66</w:t>
            </w:r>
          </w:p>
        </w:tc>
        <w:tc>
          <w:tcPr>
            <w:tcW w:w="883" w:type="pct"/>
            <w:vMerge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sz w:val="20"/>
                <w:szCs w:val="20"/>
                <w:lang w:eastAsia="x-none"/>
              </w:rPr>
              <w:t>Сети газоснабжения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tabs>
                <w:tab w:val="left" w:pos="426"/>
                <w:tab w:val="center" w:pos="512"/>
              </w:tabs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883" w:type="pct"/>
            <w:vMerge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Сети уличного освещения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4,16</w:t>
            </w:r>
          </w:p>
        </w:tc>
        <w:tc>
          <w:tcPr>
            <w:tcW w:w="883" w:type="pct"/>
            <w:vMerge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 xml:space="preserve">ВЛ 35 </w:t>
            </w:r>
            <w:proofErr w:type="spellStart"/>
            <w:r w:rsidRPr="00680186">
              <w:rPr>
                <w:bCs/>
                <w:sz w:val="20"/>
                <w:szCs w:val="20"/>
              </w:rPr>
              <w:t>кВ</w:t>
            </w:r>
            <w:proofErr w:type="spellEnd"/>
            <w:r w:rsidRPr="00680186">
              <w:rPr>
                <w:bCs/>
                <w:sz w:val="20"/>
                <w:szCs w:val="20"/>
              </w:rPr>
              <w:t xml:space="preserve"> - Кабельная линия 35 </w:t>
            </w:r>
            <w:proofErr w:type="spellStart"/>
            <w:r w:rsidRPr="00680186">
              <w:rPr>
                <w:bCs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0,74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перенос,</w:t>
            </w:r>
          </w:p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переустройство в кабельном исполнении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 xml:space="preserve">Кабельная линия 0,4 </w:t>
            </w:r>
            <w:proofErr w:type="spellStart"/>
            <w:r w:rsidRPr="00680186">
              <w:rPr>
                <w:bCs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0,09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перенос</w:t>
            </w:r>
          </w:p>
        </w:tc>
      </w:tr>
      <w:tr w:rsidR="00680186" w:rsidRPr="00680186" w:rsidTr="009375B1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80186">
              <w:rPr>
                <w:b/>
                <w:sz w:val="20"/>
                <w:szCs w:val="20"/>
              </w:rPr>
              <w:t>Инженерная подготовка территории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Канализация ливневая самотечная подземная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1,04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-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Канализация ливневая напорная подземная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tabs>
                <w:tab w:val="left" w:pos="426"/>
                <w:tab w:val="center" w:pos="512"/>
              </w:tabs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-</w:t>
            </w:r>
          </w:p>
        </w:tc>
      </w:tr>
      <w:tr w:rsidR="00680186" w:rsidRPr="00680186" w:rsidTr="009375B1">
        <w:trPr>
          <w:trHeight w:val="20"/>
        </w:trPr>
        <w:tc>
          <w:tcPr>
            <w:tcW w:w="428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4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Канализационная насосная станция</w:t>
            </w:r>
          </w:p>
        </w:tc>
        <w:tc>
          <w:tcPr>
            <w:tcW w:w="664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0186">
              <w:rPr>
                <w:rFonts w:eastAsia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12" w:type="pct"/>
            <w:shd w:val="clear" w:color="auto" w:fill="auto"/>
          </w:tcPr>
          <w:p w:rsidR="00680186" w:rsidRPr="00680186" w:rsidRDefault="00680186" w:rsidP="009375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801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3" w:type="pct"/>
            <w:shd w:val="clear" w:color="auto" w:fill="auto"/>
          </w:tcPr>
          <w:p w:rsidR="00680186" w:rsidRPr="00680186" w:rsidRDefault="00680186" w:rsidP="009375B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80186">
              <w:rPr>
                <w:sz w:val="20"/>
                <w:szCs w:val="20"/>
              </w:rPr>
              <w:t>подземная</w:t>
            </w:r>
          </w:p>
        </w:tc>
      </w:tr>
    </w:tbl>
    <w:p w:rsidR="00680186" w:rsidRPr="00680186" w:rsidRDefault="00680186" w:rsidP="00680186">
      <w:pPr>
        <w:jc w:val="both"/>
        <w:rPr>
          <w:sz w:val="20"/>
          <w:szCs w:val="20"/>
        </w:rPr>
        <w:sectPr w:rsidR="00680186" w:rsidRPr="00680186" w:rsidSect="005A5443">
          <w:footerReference w:type="default" r:id="rId7"/>
          <w:pgSz w:w="11907" w:h="16839" w:code="9"/>
          <w:pgMar w:top="851" w:right="567" w:bottom="1134" w:left="1418" w:header="567" w:footer="567" w:gutter="0"/>
          <w:cols w:space="720"/>
          <w:noEndnote/>
          <w:titlePg/>
          <w:docGrid w:linePitch="326"/>
        </w:sectPr>
      </w:pPr>
    </w:p>
    <w:p w:rsidR="00995D25" w:rsidRPr="00680186" w:rsidRDefault="00995D25">
      <w:pPr>
        <w:rPr>
          <w:sz w:val="20"/>
          <w:szCs w:val="20"/>
        </w:rPr>
      </w:pPr>
    </w:p>
    <w:p w:rsidR="00680186" w:rsidRPr="00680186" w:rsidRDefault="00680186" w:rsidP="00680186">
      <w:pPr>
        <w:jc w:val="both"/>
        <w:rPr>
          <w:b/>
          <w:sz w:val="20"/>
          <w:szCs w:val="20"/>
        </w:rPr>
      </w:pPr>
      <w:r w:rsidRPr="00680186">
        <w:rPr>
          <w:b/>
          <w:caps/>
          <w:sz w:val="20"/>
          <w:szCs w:val="20"/>
        </w:rPr>
        <w:t xml:space="preserve">ЧАСТЬ </w:t>
      </w:r>
      <w:r w:rsidR="008C39F8">
        <w:rPr>
          <w:b/>
          <w:caps/>
          <w:sz w:val="20"/>
          <w:szCs w:val="20"/>
        </w:rPr>
        <w:t>2</w:t>
      </w:r>
      <w:r w:rsidRPr="00680186">
        <w:rPr>
          <w:b/>
          <w:caps/>
          <w:sz w:val="20"/>
          <w:szCs w:val="20"/>
        </w:rPr>
        <w:t>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</w:p>
    <w:p w:rsidR="00680186" w:rsidRPr="00680186" w:rsidRDefault="00680186" w:rsidP="00680186">
      <w:pPr>
        <w:widowControl w:val="0"/>
        <w:shd w:val="clear" w:color="auto" w:fill="FFFFFF"/>
        <w:suppressAutoHyphens/>
        <w:spacing w:line="300" w:lineRule="auto"/>
        <w:ind w:firstLine="510"/>
        <w:jc w:val="both"/>
        <w:rPr>
          <w:kern w:val="1"/>
          <w:sz w:val="20"/>
          <w:szCs w:val="20"/>
          <w:lang w:eastAsia="ar-SA"/>
        </w:rPr>
      </w:pPr>
      <w:r w:rsidRPr="00680186">
        <w:rPr>
          <w:kern w:val="1"/>
          <w:sz w:val="20"/>
          <w:szCs w:val="20"/>
          <w:lang w:eastAsia="ar-SA"/>
        </w:rPr>
        <w:t xml:space="preserve">В соответствии с градостроительными нормативами Амурской области ширина в красных линиях для магистральных улиц общегородского значения регулируемого движения должна быть 37-75м, для магистральных транспортно-пешеходных улиц районного значения – 35-45м.  </w:t>
      </w:r>
    </w:p>
    <w:p w:rsidR="00680186" w:rsidRPr="00680186" w:rsidRDefault="00680186" w:rsidP="00680186">
      <w:pPr>
        <w:spacing w:line="300" w:lineRule="auto"/>
        <w:ind w:left="360"/>
        <w:contextualSpacing w:val="0"/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 xml:space="preserve">Согласно СНиП 2.07 01-89*, СП 42.13330.2011 основные технические нормативы приняты: </w:t>
      </w:r>
    </w:p>
    <w:p w:rsidR="00680186" w:rsidRPr="00680186" w:rsidRDefault="00680186" w:rsidP="00680186">
      <w:pPr>
        <w:numPr>
          <w:ilvl w:val="0"/>
          <w:numId w:val="2"/>
        </w:numPr>
        <w:spacing w:line="300" w:lineRule="auto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sz w:val="20"/>
          <w:szCs w:val="20"/>
        </w:rPr>
        <w:t xml:space="preserve">автомобильная дорога по ул. </w:t>
      </w:r>
      <w:proofErr w:type="spellStart"/>
      <w:r w:rsidRPr="00680186">
        <w:rPr>
          <w:sz w:val="20"/>
          <w:szCs w:val="20"/>
        </w:rPr>
        <w:t>Шафира</w:t>
      </w:r>
      <w:proofErr w:type="spellEnd"/>
      <w:r w:rsidRPr="00680186">
        <w:rPr>
          <w:sz w:val="20"/>
          <w:szCs w:val="20"/>
        </w:rPr>
        <w:t xml:space="preserve"> от ул. 50 лет Октября до ул. Муравьева-Амурского</w:t>
      </w:r>
      <w:r w:rsidRPr="00680186">
        <w:rPr>
          <w:rFonts w:eastAsia="Times New Roman"/>
          <w:color w:val="000000"/>
          <w:sz w:val="20"/>
          <w:szCs w:val="20"/>
          <w:lang w:eastAsia="ru-RU"/>
        </w:rPr>
        <w:t>: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sz w:val="20"/>
          <w:szCs w:val="20"/>
          <w:lang w:eastAsia="ru-RU"/>
        </w:rPr>
        <w:t>Длина – 612,06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Расчетная скорость - 80 км/час;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в красных линиях - 50 м,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проезжей части - 23,0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Разделительная полоса - 4,0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полосы движения - 3,50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крайней полосы движения - 4,0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Полоса безопасности с двух сторон от проезжей части - 0,5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Число полос движения - 6;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пешеходной части тротуара - 3,0 м;</w:t>
      </w:r>
    </w:p>
    <w:p w:rsidR="00680186" w:rsidRPr="00680186" w:rsidRDefault="00680186" w:rsidP="00680186">
      <w:pPr>
        <w:numPr>
          <w:ilvl w:val="0"/>
          <w:numId w:val="3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Тип дорожной одежды – капитальный.</w:t>
      </w:r>
    </w:p>
    <w:p w:rsidR="00680186" w:rsidRPr="00680186" w:rsidRDefault="00680186" w:rsidP="00680186">
      <w:pPr>
        <w:numPr>
          <w:ilvl w:val="0"/>
          <w:numId w:val="2"/>
        </w:numPr>
        <w:spacing w:line="300" w:lineRule="auto"/>
        <w:rPr>
          <w:sz w:val="20"/>
          <w:szCs w:val="20"/>
          <w:lang w:eastAsia="x-none"/>
        </w:rPr>
      </w:pPr>
      <w:r w:rsidRPr="00680186">
        <w:rPr>
          <w:sz w:val="20"/>
          <w:szCs w:val="20"/>
        </w:rPr>
        <w:t>автомобильная дорога по ул. Зеленая от ул. Новотроицкое шоссе до ул. 50 лет Октября: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sz w:val="20"/>
          <w:szCs w:val="20"/>
          <w:lang w:eastAsia="ru-RU"/>
        </w:rPr>
        <w:t>Длина – 889,35 м;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Расчетная скорость - 70 км/час,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 xml:space="preserve">Ширина в красных линиях – 40 (на съезде с ул. </w:t>
      </w:r>
      <w:r w:rsidRPr="00680186">
        <w:rPr>
          <w:sz w:val="20"/>
          <w:szCs w:val="20"/>
        </w:rPr>
        <w:t>50 лет Октября</w:t>
      </w:r>
      <w:r w:rsidRPr="00680186">
        <w:rPr>
          <w:rFonts w:eastAsia="Times New Roman"/>
          <w:color w:val="000000"/>
          <w:sz w:val="20"/>
          <w:szCs w:val="20"/>
          <w:lang w:eastAsia="ru-RU"/>
        </w:rPr>
        <w:t>) и 35 (на съезде с Новотроицкого Шоссе) м,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проезжей части - 15,0 м;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полосы движения - 3,50 м;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крайней полосы движения - 4,0 м;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Число полос движения - 4;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Ширина пешеходной части тротуара - 3,0 м;</w:t>
      </w:r>
    </w:p>
    <w:p w:rsidR="00680186" w:rsidRPr="00680186" w:rsidRDefault="00680186" w:rsidP="00680186">
      <w:pPr>
        <w:numPr>
          <w:ilvl w:val="0"/>
          <w:numId w:val="4"/>
        </w:numPr>
        <w:spacing w:line="300" w:lineRule="auto"/>
        <w:ind w:left="1134"/>
        <w:contextualSpacing w:val="0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Тип дорожной одежды - капитальный;</w:t>
      </w:r>
    </w:p>
    <w:p w:rsidR="00680186" w:rsidRDefault="00680186" w:rsidP="00680186">
      <w:pPr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 xml:space="preserve">Искусственное сооружение – мост через р. Чигири (с </w:t>
      </w:r>
      <w:proofErr w:type="spellStart"/>
      <w:r w:rsidRPr="00680186">
        <w:rPr>
          <w:rFonts w:eastAsia="Times New Roman"/>
          <w:color w:val="000000"/>
          <w:sz w:val="20"/>
          <w:szCs w:val="20"/>
          <w:lang w:eastAsia="ru-RU"/>
        </w:rPr>
        <w:t>заужением</w:t>
      </w:r>
      <w:proofErr w:type="spellEnd"/>
      <w:r w:rsidRPr="00680186">
        <w:rPr>
          <w:rFonts w:eastAsia="Times New Roman"/>
          <w:color w:val="000000"/>
          <w:sz w:val="20"/>
          <w:szCs w:val="20"/>
          <w:lang w:eastAsia="ru-RU"/>
        </w:rPr>
        <w:t xml:space="preserve"> тротуара на мосту до 2,25 м).</w:t>
      </w:r>
    </w:p>
    <w:p w:rsidR="00680186" w:rsidRPr="00680186" w:rsidRDefault="00680186" w:rsidP="00680186">
      <w:pPr>
        <w:rPr>
          <w:rFonts w:eastAsia="Times New Roman"/>
          <w:color w:val="000000"/>
          <w:sz w:val="20"/>
          <w:szCs w:val="20"/>
          <w:lang w:eastAsia="ru-RU"/>
        </w:rPr>
      </w:pPr>
    </w:p>
    <w:p w:rsidR="00680186" w:rsidRPr="00680186" w:rsidRDefault="00680186" w:rsidP="00680186">
      <w:pPr>
        <w:jc w:val="both"/>
        <w:rPr>
          <w:b/>
          <w:sz w:val="20"/>
          <w:szCs w:val="20"/>
        </w:rPr>
      </w:pPr>
      <w:r w:rsidRPr="00680186">
        <w:rPr>
          <w:b/>
          <w:sz w:val="20"/>
          <w:szCs w:val="20"/>
        </w:rPr>
        <w:t xml:space="preserve">ЧАСТЬ </w:t>
      </w:r>
      <w:r w:rsidR="008C39F8">
        <w:rPr>
          <w:b/>
          <w:sz w:val="20"/>
          <w:szCs w:val="20"/>
        </w:rPr>
        <w:t>3</w:t>
      </w:r>
      <w:r w:rsidRPr="00680186">
        <w:rPr>
          <w:b/>
          <w:sz w:val="20"/>
          <w:szCs w:val="20"/>
        </w:rPr>
        <w:t>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Согласно Постановлению Правительства РФ от 21.05.2007 г. № 304 «О классификации чрезвычайных ситуаций природного и техногенного характера», чрезвычайные ситуации природного и техногенного характера подразделяются на ситуации: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локального характера;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муниципального характера;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межмуниципального характера;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регионального характера;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межрегионального характера;</w:t>
      </w:r>
    </w:p>
    <w:p w:rsidR="00680186" w:rsidRPr="00680186" w:rsidRDefault="00680186" w:rsidP="00680186">
      <w:pPr>
        <w:pStyle w:val="a"/>
        <w:rPr>
          <w:sz w:val="20"/>
          <w:szCs w:val="20"/>
        </w:rPr>
      </w:pPr>
      <w:r w:rsidRPr="00680186">
        <w:rPr>
          <w:sz w:val="20"/>
          <w:szCs w:val="20"/>
        </w:rPr>
        <w:t>федерального характера.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Катастрофы техногенного и природного характера приводят к следующим возможным последствиям: пожары, взрывы, человеческие жертвы, массовые заболевания населения, перебои в обеспечении электроэнергией, водой и теплом.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 xml:space="preserve">Оповещение населения об опасностях связанных с возникновением ЧС осуществляется в соответствии с совместным Приказом МЧС России, Министерства информационных технологий и связи РФ, </w:t>
      </w:r>
      <w:r w:rsidRPr="00680186">
        <w:rPr>
          <w:sz w:val="20"/>
          <w:szCs w:val="20"/>
        </w:rPr>
        <w:lastRenderedPageBreak/>
        <w:t>Министерства культуры и массовых коммуникаций РФ «Об утверждении Положения о системах оповещения населения» от 25.07.2006 г. № 422/90/376.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Информация о проведении инженерно-технических мероприятий по гражданской обороне и чрезвычайным ситуациям на рассматриваемой территории отсутствует.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В соответствии с Федеральным законом от 12.02.1998 г № 28-ФЗ «О гражданской обороне» на территории Российской Федерации предусматривается система мероприятий по подготовке к защите и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В соответствии с Постановлением Правительства РФ от 29.11.1999 № 1309 «О Порядке создания убежищ и иных объектов гражданской обороны» санитарно-обмывочные пункты, станции обеззараживания одежды и транспорта и иные объекты гражданской обороны создаются для обеспечения медицинской защиты и первоочередного жизнеобеспечения населения, санитарной обработки людей и животных, специальной обработки одежды и транспортных средств.</w:t>
      </w:r>
    </w:p>
    <w:p w:rsidR="00680186" w:rsidRPr="00680186" w:rsidRDefault="008C39F8" w:rsidP="00680186">
      <w:pPr>
        <w:pStyle w:val="2"/>
        <w:spacing w:before="120" w:after="0" w:line="300" w:lineRule="auto"/>
        <w:contextualSpacing w:val="0"/>
        <w:rPr>
          <w:caps w:val="0"/>
          <w:sz w:val="20"/>
          <w:szCs w:val="20"/>
          <w:lang w:val="ru-RU"/>
        </w:rPr>
      </w:pPr>
      <w:bookmarkStart w:id="4" w:name="_Toc403551000"/>
      <w:bookmarkStart w:id="5" w:name="_Toc490435362"/>
      <w:bookmarkStart w:id="6" w:name="_Toc497821561"/>
      <w:r>
        <w:rPr>
          <w:caps w:val="0"/>
          <w:sz w:val="20"/>
          <w:szCs w:val="20"/>
          <w:lang w:val="ru-RU"/>
        </w:rPr>
        <w:t>3</w:t>
      </w:r>
      <w:r w:rsidR="00680186" w:rsidRPr="00680186">
        <w:rPr>
          <w:caps w:val="0"/>
          <w:sz w:val="20"/>
          <w:szCs w:val="20"/>
          <w:lang w:val="ru-RU"/>
        </w:rPr>
        <w:t>.1 МЕРОПРИЯТИЯ ПО ПРЕДОТВРАЩЕНИЮ ЧРЕЗВЫЧАЙНЫХ СИТУАЦИЙ ТЕХНОГЕННОГО ХАРАКТЕРА</w:t>
      </w:r>
      <w:bookmarkEnd w:id="4"/>
      <w:bookmarkEnd w:id="5"/>
      <w:bookmarkEnd w:id="6"/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Среди чрезвычайных ситуаций техногенного характера большая доля приходится на аварии на автодорогах, железных дорогах, пожары в зданиях, на коммуникациях.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Основными причинами возникновения дорожно-транспортных происшествий могут являться: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нарушение правил дорожного движения;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неровное дорожное покрытие с дефектами, отсутствие горизонтальной разметки и ограждений на опасных участках;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недостаточное освещение дорог;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качество покрытий – низкое сцепление, особенно зимой, и другие факторы.</w:t>
      </w:r>
    </w:p>
    <w:p w:rsidR="00680186" w:rsidRPr="00680186" w:rsidRDefault="00680186" w:rsidP="00680186">
      <w:pPr>
        <w:spacing w:line="300" w:lineRule="auto"/>
        <w:ind w:firstLine="426"/>
        <w:jc w:val="both"/>
        <w:rPr>
          <w:rFonts w:eastAsia="MS Mincho"/>
          <w:sz w:val="20"/>
          <w:szCs w:val="20"/>
        </w:rPr>
      </w:pPr>
      <w:r w:rsidRPr="00680186">
        <w:rPr>
          <w:rFonts w:eastAsia="MS Mincho"/>
          <w:sz w:val="20"/>
          <w:szCs w:val="20"/>
        </w:rPr>
        <w:t>Для предотвращения чрезвычайных ситуаций на автотранспорте необходимо проведение следующего комплекса мероприятий: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улучшение качества зимнего содержания дорог в период гололеда;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rFonts w:eastAsia="MS Mincho"/>
          <w:sz w:val="20"/>
          <w:szCs w:val="20"/>
        </w:rPr>
      </w:pPr>
      <w:r w:rsidRPr="00680186">
        <w:rPr>
          <w:rFonts w:eastAsia="MS Mincho"/>
          <w:sz w:val="20"/>
          <w:szCs w:val="20"/>
        </w:rPr>
        <w:t>устройство ограждений, разметка, установка дорожных знаков, улучшение освещения на автодорогах;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укрепление обочин, откосов насыпей, устройство водоотводов и других инженерных мероприятий для предотвращения размывов на предмостных участках;</w:t>
      </w:r>
    </w:p>
    <w:p w:rsidR="00680186" w:rsidRPr="00680186" w:rsidRDefault="00680186" w:rsidP="00680186">
      <w:pPr>
        <w:pStyle w:val="a"/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очистка дорог в зимнее время от снежных валов, сужающих проезжую часть и ограничивающих видимость.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Надежность водоснабжения обеспечивается при проведении следующих мероприятий: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защита водоисточников и резервуаров чистой воды от радиационного, химического и бактериологического заражения;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усиление охраны водоочистных сооружений, котельных и других жизнеобеспечивающих объектов;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наличие резервного электроснабжения;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замена устаревшего оборудования на новое, применение новых технологий производства;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обучение и повышение квалификации работников предприятий;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создание аварийного запаса материалов.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Для нормального функционирования объектов жизнеобеспечения и предотвращения возникновения чрезвычайных ситуаций необходимо соблюдение специального режима в пределах охранных зон объектов инженерной инфраструктуры. Наличие охранных зон объектов инженерной инфраструктуры в комплексе с зонами с особыми условиями использования территории накладывает дополнительные ограничения на хозяйственное освоение территории.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Чрезвычайные ситуации, связанные с возникновением пожаров на территории, чаще всего возникают на объектах социально-бытового назначения, причинами которых в основном являются нарушения правил пожарной безопасности, правил эксплуатации электрооборудования и неосторожное обращение с огнем.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lastRenderedPageBreak/>
        <w:t>В соответствии с Федеральным законом от 22.07.2008 г. №123-ФЗ «Технический регламент о требованиях пожарной безопасности» защита людей и имущества от воздействия опасных факторов пожара и (или) ограничение последствий их воздействия обеспечиваются одним или несколькими из следующих способов: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применение объемно-планировочных решений и средств, обеспечивающих ограничение распространения пожара за пределы очага;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устройство эвакуационных путей, удовлетворяющих требованиям безопасной эвакуации людей при пожаре;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применение систем коллективной защиты (в том числе противодымной) и средств индивидуальной защиты людей от воздействия опасных факторов пожара;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применение основных строительных конструкций с пределами огнестойкости и классами пожарной опасности;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устройство на технологическом оборудовании систем противовзрывной защиты;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применение первичных средств пожаротушения;</w:t>
      </w:r>
    </w:p>
    <w:p w:rsidR="00680186" w:rsidRPr="00680186" w:rsidRDefault="00680186" w:rsidP="00680186">
      <w:pPr>
        <w:pStyle w:val="a"/>
        <w:tabs>
          <w:tab w:val="left" w:pos="709"/>
        </w:tabs>
        <w:spacing w:line="300" w:lineRule="auto"/>
        <w:ind w:left="709" w:hanging="283"/>
        <w:rPr>
          <w:sz w:val="20"/>
          <w:szCs w:val="20"/>
        </w:rPr>
      </w:pPr>
      <w:r w:rsidRPr="00680186">
        <w:rPr>
          <w:sz w:val="20"/>
          <w:szCs w:val="20"/>
        </w:rPr>
        <w:t>организация деятельности подразделений пожарной охраны.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Здания, сооружения и строения должны быть обеспечены первичными средствами пожаротушения лицами, уполномоченными владеть, пользоваться или распоряжаться зданиями, сооружениями и строениями.</w:t>
      </w:r>
    </w:p>
    <w:p w:rsidR="00680186" w:rsidRPr="00680186" w:rsidRDefault="00680186" w:rsidP="00680186">
      <w:pPr>
        <w:spacing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Номенклатура, количество и места размещения первичных средств пожаротушения устанавливаются в зависимости от вида горючего материала, объемно-планировочных решений здания, сооружения или строения, параметров окружающей среды и мест размещения обслуживающего персонала.</w:t>
      </w:r>
    </w:p>
    <w:p w:rsidR="00680186" w:rsidRPr="00680186" w:rsidRDefault="008C39F8" w:rsidP="00680186">
      <w:pPr>
        <w:pStyle w:val="2"/>
        <w:spacing w:before="120" w:after="0" w:line="300" w:lineRule="auto"/>
        <w:contextualSpacing w:val="0"/>
        <w:rPr>
          <w:caps w:val="0"/>
          <w:sz w:val="20"/>
          <w:szCs w:val="20"/>
          <w:lang w:val="ru-RU"/>
        </w:rPr>
      </w:pPr>
      <w:bookmarkStart w:id="7" w:name="_Toc403551001"/>
      <w:bookmarkStart w:id="8" w:name="_Toc490435363"/>
      <w:bookmarkStart w:id="9" w:name="_Toc497821562"/>
      <w:r>
        <w:rPr>
          <w:caps w:val="0"/>
          <w:sz w:val="20"/>
          <w:szCs w:val="20"/>
          <w:lang w:val="ru-RU"/>
        </w:rPr>
        <w:t>3</w:t>
      </w:r>
      <w:r w:rsidR="00680186" w:rsidRPr="00680186">
        <w:rPr>
          <w:caps w:val="0"/>
          <w:sz w:val="20"/>
          <w:szCs w:val="20"/>
          <w:lang w:val="ru-RU"/>
        </w:rPr>
        <w:t>.2 МЕРОПРИЯТИЯ ПО ПРЕДОТВРАЩЕНИЮ ЧРЕЗВЫЧАЙНЫХ СИТУАЦИЙ ПРИРОДНОГО ХАРАКТЕРА</w:t>
      </w:r>
      <w:bookmarkEnd w:id="7"/>
      <w:bookmarkEnd w:id="8"/>
      <w:bookmarkEnd w:id="9"/>
    </w:p>
    <w:p w:rsidR="00680186" w:rsidRPr="00680186" w:rsidRDefault="00680186" w:rsidP="00680186">
      <w:pPr>
        <w:pStyle w:val="a4"/>
        <w:spacing w:before="0" w:after="0" w:line="300" w:lineRule="auto"/>
        <w:ind w:firstLine="709"/>
        <w:rPr>
          <w:sz w:val="20"/>
          <w:szCs w:val="20"/>
        </w:rPr>
      </w:pPr>
      <w:r w:rsidRPr="00680186">
        <w:rPr>
          <w:sz w:val="20"/>
          <w:szCs w:val="20"/>
        </w:rPr>
        <w:t xml:space="preserve">В целях защиты проектируемой территории от затопления в соответствии со </w:t>
      </w:r>
      <w:r w:rsidRPr="00680186">
        <w:rPr>
          <w:sz w:val="20"/>
          <w:szCs w:val="20"/>
        </w:rPr>
        <w:br/>
        <w:t>СНиП 2.06.15-85 «Инженерная защита территории от затопления и подтопления» необходимо осуществлять:</w:t>
      </w:r>
    </w:p>
    <w:p w:rsidR="00680186" w:rsidRPr="00680186" w:rsidRDefault="00680186" w:rsidP="00680186">
      <w:pPr>
        <w:pStyle w:val="a"/>
        <w:spacing w:after="0" w:line="300" w:lineRule="auto"/>
        <w:ind w:left="709" w:hanging="283"/>
        <w:contextualSpacing w:val="0"/>
        <w:rPr>
          <w:sz w:val="20"/>
          <w:szCs w:val="20"/>
        </w:rPr>
      </w:pPr>
      <w:r w:rsidRPr="00680186">
        <w:rPr>
          <w:sz w:val="20"/>
          <w:szCs w:val="20"/>
        </w:rPr>
        <w:t>обвалование территорий со стороны водных объектов;</w:t>
      </w:r>
    </w:p>
    <w:p w:rsidR="00680186" w:rsidRPr="00680186" w:rsidRDefault="00680186" w:rsidP="00680186">
      <w:pPr>
        <w:pStyle w:val="a"/>
        <w:spacing w:after="0" w:line="300" w:lineRule="auto"/>
        <w:ind w:left="709" w:hanging="283"/>
        <w:contextualSpacing w:val="0"/>
        <w:rPr>
          <w:sz w:val="20"/>
          <w:szCs w:val="20"/>
        </w:rPr>
      </w:pPr>
      <w:r w:rsidRPr="00680186">
        <w:rPr>
          <w:sz w:val="20"/>
          <w:szCs w:val="20"/>
        </w:rPr>
        <w:t>регулирование и отвод поверхностных</w:t>
      </w:r>
      <w:r w:rsidRPr="00680186">
        <w:rPr>
          <w:sz w:val="20"/>
          <w:szCs w:val="20"/>
          <w:lang w:val="ru-RU"/>
        </w:rPr>
        <w:t xml:space="preserve"> вод</w:t>
      </w:r>
      <w:r w:rsidRPr="00680186">
        <w:rPr>
          <w:sz w:val="20"/>
          <w:szCs w:val="20"/>
        </w:rPr>
        <w:t>.</w:t>
      </w:r>
    </w:p>
    <w:p w:rsidR="00680186" w:rsidRPr="00680186" w:rsidRDefault="00680186" w:rsidP="00680186">
      <w:pPr>
        <w:jc w:val="both"/>
        <w:rPr>
          <w:b/>
          <w:sz w:val="20"/>
          <w:szCs w:val="20"/>
        </w:rPr>
      </w:pPr>
    </w:p>
    <w:p w:rsidR="00680186" w:rsidRPr="00680186" w:rsidRDefault="00680186" w:rsidP="00680186">
      <w:pPr>
        <w:jc w:val="both"/>
        <w:rPr>
          <w:b/>
          <w:sz w:val="20"/>
          <w:szCs w:val="20"/>
        </w:rPr>
      </w:pPr>
      <w:r w:rsidRPr="00680186">
        <w:rPr>
          <w:b/>
          <w:sz w:val="20"/>
          <w:szCs w:val="20"/>
        </w:rPr>
        <w:t xml:space="preserve">ЧАСТЬ </w:t>
      </w:r>
      <w:r w:rsidR="008C39F8">
        <w:rPr>
          <w:b/>
          <w:sz w:val="20"/>
          <w:szCs w:val="20"/>
        </w:rPr>
        <w:t>4</w:t>
      </w:r>
      <w:r w:rsidRPr="00680186">
        <w:rPr>
          <w:b/>
          <w:sz w:val="20"/>
          <w:szCs w:val="20"/>
        </w:rPr>
        <w:t>. ОХРАНА ОКРУЖАЮЩЕЙ СРЕДЫ</w:t>
      </w:r>
    </w:p>
    <w:p w:rsidR="00680186" w:rsidRPr="00680186" w:rsidRDefault="00680186" w:rsidP="00680186">
      <w:pPr>
        <w:spacing w:line="240" w:lineRule="auto"/>
        <w:contextualSpacing w:val="0"/>
        <w:rPr>
          <w:rFonts w:eastAsia="Times New Roman"/>
          <w:b/>
          <w:iCs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b/>
          <w:iCs/>
          <w:color w:val="000000"/>
          <w:sz w:val="20"/>
          <w:szCs w:val="20"/>
          <w:lang w:eastAsia="ru-RU"/>
        </w:rPr>
        <w:t xml:space="preserve">Загрязнение атмосферы 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Состояние атмосферного воздуха в период эксплуатации дороги зависит от следующих факторов:</w:t>
      </w:r>
    </w:p>
    <w:p w:rsidR="00680186" w:rsidRPr="00680186" w:rsidRDefault="00680186" w:rsidP="00680186">
      <w:pPr>
        <w:numPr>
          <w:ilvl w:val="0"/>
          <w:numId w:val="6"/>
        </w:numPr>
        <w:spacing w:line="300" w:lineRule="auto"/>
        <w:ind w:left="993"/>
        <w:contextualSpacing w:val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интенсивности движения автотранспорта;</w:t>
      </w:r>
    </w:p>
    <w:p w:rsidR="00680186" w:rsidRPr="00680186" w:rsidRDefault="00680186" w:rsidP="00680186">
      <w:pPr>
        <w:numPr>
          <w:ilvl w:val="0"/>
          <w:numId w:val="6"/>
        </w:numPr>
        <w:spacing w:line="300" w:lineRule="auto"/>
        <w:ind w:left="993"/>
        <w:contextualSpacing w:val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состава движения;</w:t>
      </w:r>
    </w:p>
    <w:p w:rsidR="00680186" w:rsidRPr="00680186" w:rsidRDefault="00680186" w:rsidP="00680186">
      <w:pPr>
        <w:numPr>
          <w:ilvl w:val="0"/>
          <w:numId w:val="6"/>
        </w:numPr>
        <w:spacing w:line="300" w:lineRule="auto"/>
        <w:ind w:left="993"/>
        <w:contextualSpacing w:val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скорости движения;</w:t>
      </w:r>
    </w:p>
    <w:p w:rsidR="00680186" w:rsidRPr="00680186" w:rsidRDefault="00680186" w:rsidP="00680186">
      <w:pPr>
        <w:numPr>
          <w:ilvl w:val="0"/>
          <w:numId w:val="6"/>
        </w:numPr>
        <w:spacing w:line="300" w:lineRule="auto"/>
        <w:ind w:left="993"/>
        <w:contextualSpacing w:val="0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технических параметров дороги.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 xml:space="preserve">Загрязнение атмосферного воздуха придорожной территории происходит за счет выбросов токсичных газов из двигателей автотранспорта, перемещающегося по дороге. В состав отработанных газов, отходящих в атмосферу от двигателей машин, входит ряд компонентов, из которых существенный объем занимают токсичные </w:t>
      </w:r>
      <w:proofErr w:type="spellStart"/>
      <w:r w:rsidRPr="00680186">
        <w:rPr>
          <w:rFonts w:eastAsia="Times New Roman"/>
          <w:color w:val="000000"/>
          <w:sz w:val="20"/>
          <w:szCs w:val="20"/>
          <w:lang w:eastAsia="ru-RU"/>
        </w:rPr>
        <w:t>газы</w:t>
      </w:r>
      <w:proofErr w:type="spellEnd"/>
      <w:r w:rsidRPr="00680186">
        <w:rPr>
          <w:rFonts w:eastAsia="Times New Roman"/>
          <w:color w:val="000000"/>
          <w:sz w:val="20"/>
          <w:szCs w:val="20"/>
          <w:lang w:eastAsia="ru-RU"/>
        </w:rPr>
        <w:t>: оксид углерода, углеводороды, диоксид азота, аэрозоли свинца, сернистый ангидрид, сажа.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Наиболее уязвимыми в отношении загрязнения окружающего атмосферного воздуха от проходящего автотранспорта являются люди, проживающие в непосредственной близости от рассматриваемого объекта.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Как правило опыт показывают, что в период эксплуатации дороги величина транспортного воздействия на атмосферный воздух не превышает предельно допустимых концентраций, не отражается на загрязнении атмосферного воздуха и не скажется на общем состоянии окружающей среды. Концентрации вредных веществ не превышает своих максимальных значений уже на расстояние 4 метров от дороги.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Таким образом, по критерию «атмосферный воздух» дорога не является экологически опасным сооружением, вследствие низкой интенсивности движения. Назначение специальных мероприятий по обеспечению соблюдения нормативов качества воздуха не требуется.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lastRenderedPageBreak/>
        <w:t>Основным мероприятием является озеленение прилегающей к дороге территории (посадка кустарника).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b/>
          <w:sz w:val="20"/>
          <w:szCs w:val="20"/>
          <w:lang w:eastAsia="ru-RU"/>
        </w:rPr>
      </w:pPr>
      <w:proofErr w:type="spellStart"/>
      <w:r w:rsidRPr="00680186">
        <w:rPr>
          <w:rFonts w:eastAsia="Times New Roman"/>
          <w:b/>
          <w:iCs/>
          <w:color w:val="000000"/>
          <w:sz w:val="20"/>
          <w:szCs w:val="20"/>
          <w:lang w:eastAsia="ru-RU"/>
        </w:rPr>
        <w:t>Пылимость</w:t>
      </w:r>
      <w:proofErr w:type="spellEnd"/>
      <w:r w:rsidRPr="00680186">
        <w:rPr>
          <w:rFonts w:eastAsia="Times New Roman"/>
          <w:b/>
          <w:iCs/>
          <w:color w:val="000000"/>
          <w:sz w:val="20"/>
          <w:szCs w:val="20"/>
          <w:lang w:eastAsia="ru-RU"/>
        </w:rPr>
        <w:t xml:space="preserve"> дорожного покрытия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Пылеобразование происходит в результате внесения автомобилями на проезжую часть грязи и пыли, износа автопокрышек, взаимодействия колес автомобилей с поверхностью дороги и более интенсивно в засушливый период года.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На интенсивность пылеобразования влияют физико-механические свойства материала и состояние покрытия, скорость движения автотранспорта, вес, габариты и тип движущихся по дороге автомобилей, климатические условия. При безветренной погоде пыль оседает на поверхности дороги. При направлении ветров поперек дороги пыль сносится на придорожную территорию. На рассматриваемом участке в наиболее неблагоприятный период (лето) пыль (согласно розе ветров) будет сноситься, большей частью, вправо от оси дороги. Поэтому посадка растительности на прилегающей к дороге территории, является эффективным средством ограничения распространения пыли.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b/>
          <w:sz w:val="20"/>
          <w:szCs w:val="20"/>
          <w:lang w:eastAsia="ru-RU"/>
        </w:rPr>
      </w:pPr>
      <w:r w:rsidRPr="00680186">
        <w:rPr>
          <w:rFonts w:eastAsia="Times New Roman"/>
          <w:b/>
          <w:iCs/>
          <w:color w:val="000000"/>
          <w:sz w:val="20"/>
          <w:szCs w:val="20"/>
          <w:lang w:eastAsia="ru-RU"/>
        </w:rPr>
        <w:t>Шумовое загрязнение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Автомобильный транспорт, движущийся по улице, является источником шума. Величина уровня шума зависит от многих факторов: интенсивности движения, вида и состояния покрытия, продольных уклонов дороги, наличия зеленых насаждений. Чтобы не допустить сильного воздействия уровня шума на человека и природу, уровень шума не должен превышать предельных величин, установленных санитарными нормами.</w:t>
      </w:r>
    </w:p>
    <w:p w:rsidR="00680186" w:rsidRPr="00680186" w:rsidRDefault="00680186" w:rsidP="00680186">
      <w:pPr>
        <w:pStyle w:val="s1"/>
        <w:spacing w:before="0" w:beforeAutospacing="0" w:after="0" w:afterAutospacing="0" w:line="300" w:lineRule="auto"/>
        <w:ind w:firstLine="709"/>
        <w:jc w:val="both"/>
        <w:rPr>
          <w:sz w:val="20"/>
          <w:szCs w:val="20"/>
        </w:rPr>
      </w:pPr>
      <w:r w:rsidRPr="00680186">
        <w:rPr>
          <w:sz w:val="20"/>
          <w:szCs w:val="20"/>
        </w:rPr>
        <w:t>Вдоль всего участка дорог по газону рекомендуется посадка защитной полосы деревьев пыле и газоустойчивых пород с кустарником высотой 1,5 м., что дает эффективность снижения санитарно-гигиенических показателей по шуму на 15% (на 10 дБ А), по содержанию токсичных газов в воздухе до 10%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680186">
        <w:rPr>
          <w:rFonts w:eastAsia="Times New Roman"/>
          <w:b/>
          <w:bCs/>
          <w:color w:val="000000"/>
          <w:sz w:val="20"/>
          <w:szCs w:val="20"/>
          <w:lang w:eastAsia="ru-RU"/>
        </w:rPr>
        <w:t>Рациональное использование земельных ресурсов и почвенного покрова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При работе двигателей транспортных средств образуются условно «твердые» выбросы, состоящие из пылевидных и аэрозольных частиц (последние заражают атмосферу и частично оседают на почву).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В связи с запретом производства и применения этилированных бензинов на территории России полностью прекращено использование этилированного бензина, являющегося основным источником накопления свинца в почве. А, следовательно, загрязнение придорожной почвы свинцом через 20 лет может и не достигнуть выше указанных значений.</w:t>
      </w:r>
    </w:p>
    <w:p w:rsidR="00680186" w:rsidRPr="00680186" w:rsidRDefault="00680186" w:rsidP="00680186">
      <w:pPr>
        <w:spacing w:line="300" w:lineRule="auto"/>
        <w:ind w:firstLine="709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В период эксплуатации для сохранения почвенного покрова должны выполняться следующие мероприятия:</w:t>
      </w:r>
    </w:p>
    <w:p w:rsidR="00680186" w:rsidRPr="00680186" w:rsidRDefault="00680186" w:rsidP="00680186">
      <w:pPr>
        <w:numPr>
          <w:ilvl w:val="0"/>
          <w:numId w:val="7"/>
        </w:numPr>
        <w:spacing w:line="300" w:lineRule="auto"/>
        <w:contextualSpacing w:val="0"/>
        <w:jc w:val="both"/>
        <w:rPr>
          <w:rFonts w:eastAsia="Times New Roman"/>
          <w:sz w:val="20"/>
          <w:szCs w:val="20"/>
          <w:lang w:eastAsia="ru-RU"/>
        </w:rPr>
      </w:pPr>
      <w:r w:rsidRPr="00680186">
        <w:rPr>
          <w:rFonts w:eastAsia="Times New Roman"/>
          <w:color w:val="000000"/>
          <w:sz w:val="20"/>
          <w:szCs w:val="20"/>
          <w:lang w:eastAsia="ru-RU"/>
        </w:rPr>
        <w:t>движение автомобилей только по дороге и оборудованным съездам;</w:t>
      </w:r>
    </w:p>
    <w:p w:rsidR="00680186" w:rsidRPr="00680186" w:rsidRDefault="00680186" w:rsidP="00680186">
      <w:pPr>
        <w:pStyle w:val="s1"/>
        <w:numPr>
          <w:ilvl w:val="0"/>
          <w:numId w:val="7"/>
        </w:numPr>
        <w:spacing w:before="0" w:beforeAutospacing="0" w:after="0" w:afterAutospacing="0" w:line="300" w:lineRule="auto"/>
        <w:jc w:val="both"/>
        <w:rPr>
          <w:bCs/>
          <w:color w:val="000000"/>
          <w:sz w:val="20"/>
          <w:szCs w:val="20"/>
        </w:rPr>
      </w:pPr>
      <w:r w:rsidRPr="00680186">
        <w:rPr>
          <w:color w:val="000000"/>
          <w:sz w:val="20"/>
          <w:szCs w:val="20"/>
        </w:rPr>
        <w:t>периодический сбор мусора в контейнеры и урны с последующим вывозом.</w:t>
      </w:r>
    </w:p>
    <w:p w:rsidR="00680186" w:rsidRPr="00680186" w:rsidRDefault="00680186" w:rsidP="00680186">
      <w:pPr>
        <w:jc w:val="both"/>
        <w:rPr>
          <w:b/>
          <w:sz w:val="20"/>
          <w:szCs w:val="20"/>
        </w:rPr>
      </w:pPr>
    </w:p>
    <w:sectPr w:rsidR="00680186" w:rsidRPr="00680186" w:rsidSect="005A5443"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D70" w:rsidRDefault="00886D70" w:rsidP="008D065D">
      <w:pPr>
        <w:spacing w:line="240" w:lineRule="auto"/>
      </w:pPr>
      <w:r>
        <w:separator/>
      </w:r>
    </w:p>
  </w:endnote>
  <w:endnote w:type="continuationSeparator" w:id="0">
    <w:p w:rsidR="00886D70" w:rsidRDefault="00886D70" w:rsidP="008D0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3327437"/>
      <w:docPartObj>
        <w:docPartGallery w:val="Page Numbers (Bottom of Page)"/>
        <w:docPartUnique/>
      </w:docPartObj>
    </w:sdtPr>
    <w:sdtEndPr/>
    <w:sdtContent>
      <w:p w:rsidR="008D065D" w:rsidRDefault="008D06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D065D" w:rsidRDefault="008D06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D70" w:rsidRDefault="00886D70" w:rsidP="008D065D">
      <w:pPr>
        <w:spacing w:line="240" w:lineRule="auto"/>
      </w:pPr>
      <w:r>
        <w:separator/>
      </w:r>
    </w:p>
  </w:footnote>
  <w:footnote w:type="continuationSeparator" w:id="0">
    <w:p w:rsidR="00886D70" w:rsidRDefault="00886D70" w:rsidP="008D06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950EA"/>
    <w:multiLevelType w:val="hybridMultilevel"/>
    <w:tmpl w:val="CB761AC6"/>
    <w:lvl w:ilvl="0" w:tplc="C29425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57A37"/>
    <w:multiLevelType w:val="hybridMultilevel"/>
    <w:tmpl w:val="DEA84C86"/>
    <w:lvl w:ilvl="0" w:tplc="C8AC2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272845"/>
    <w:multiLevelType w:val="hybridMultilevel"/>
    <w:tmpl w:val="1976200E"/>
    <w:lvl w:ilvl="0" w:tplc="C8AC23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9559C"/>
    <w:multiLevelType w:val="hybridMultilevel"/>
    <w:tmpl w:val="0A2227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F9B2AE4"/>
    <w:multiLevelType w:val="hybridMultilevel"/>
    <w:tmpl w:val="55CA7864"/>
    <w:lvl w:ilvl="0" w:tplc="C8AC2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27B0E"/>
    <w:multiLevelType w:val="multilevel"/>
    <w:tmpl w:val="423A2F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6D237D"/>
    <w:multiLevelType w:val="multilevel"/>
    <w:tmpl w:val="AC5828AE"/>
    <w:lvl w:ilvl="0">
      <w:start w:val="1"/>
      <w:numFmt w:val="bullet"/>
      <w:pStyle w:val="a"/>
      <w:lvlText w:val=""/>
      <w:lvlJc w:val="left"/>
      <w:pPr>
        <w:ind w:left="285" w:firstLine="567"/>
      </w:pPr>
      <w:rPr>
        <w:rFonts w:ascii="Symbol" w:hAnsi="Symbol" w:hint="default"/>
      </w:rPr>
    </w:lvl>
    <w:lvl w:ilvl="1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86"/>
    <w:rsid w:val="001943FA"/>
    <w:rsid w:val="0022003B"/>
    <w:rsid w:val="0024166B"/>
    <w:rsid w:val="002921C6"/>
    <w:rsid w:val="004F1E05"/>
    <w:rsid w:val="00517754"/>
    <w:rsid w:val="005A5443"/>
    <w:rsid w:val="00635E87"/>
    <w:rsid w:val="00680186"/>
    <w:rsid w:val="00886D70"/>
    <w:rsid w:val="008C39F8"/>
    <w:rsid w:val="008D065D"/>
    <w:rsid w:val="00954099"/>
    <w:rsid w:val="00995D25"/>
    <w:rsid w:val="00A45A01"/>
    <w:rsid w:val="00DF432A"/>
    <w:rsid w:val="00ED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52E4"/>
  <w15:chartTrackingRefBased/>
  <w15:docId w15:val="{362DEEB5-14AD-4C1B-B7A8-076700BF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80186"/>
    <w:pPr>
      <w:spacing w:after="0" w:line="276" w:lineRule="auto"/>
      <w:contextualSpacing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Знак2 Знак,Знак2,Знак2 Знак Знак Знак,Знак2 Знак1,ГЛАВА,Заголовок 2 Знак1,Заголовок 2 Знак Знак"/>
    <w:basedOn w:val="a0"/>
    <w:next w:val="a0"/>
    <w:link w:val="20"/>
    <w:uiPriority w:val="9"/>
    <w:qFormat/>
    <w:rsid w:val="00680186"/>
    <w:pPr>
      <w:keepNext/>
      <w:keepLines/>
      <w:spacing w:after="120"/>
      <w:outlineLvl w:val="1"/>
    </w:pPr>
    <w:rPr>
      <w:rFonts w:eastAsia="Times New Roman"/>
      <w:b/>
      <w:bCs/>
      <w:caps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Знак2 Знак Знак,Знак2 Знак2,Знак2 Знак Знак Знак Знак,Знак2 Знак1 Знак,ГЛАВА Знак,Заголовок 2 Знак1 Знак,Заголовок 2 Знак Знак Знак"/>
    <w:basedOn w:val="a1"/>
    <w:link w:val="2"/>
    <w:uiPriority w:val="9"/>
    <w:rsid w:val="00680186"/>
    <w:rPr>
      <w:rFonts w:ascii="Times New Roman" w:eastAsia="Times New Roman" w:hAnsi="Times New Roman" w:cs="Times New Roman"/>
      <w:b/>
      <w:bCs/>
      <w:caps/>
      <w:sz w:val="24"/>
      <w:szCs w:val="26"/>
      <w:lang w:val="x-none" w:eastAsia="x-none"/>
    </w:rPr>
  </w:style>
  <w:style w:type="paragraph" w:customStyle="1" w:styleId="1">
    <w:name w:val="_ЗАГОЛОВОК 1"/>
    <w:basedOn w:val="a0"/>
    <w:link w:val="10"/>
    <w:autoRedefine/>
    <w:qFormat/>
    <w:rsid w:val="00680186"/>
    <w:pPr>
      <w:keepNext/>
      <w:keepLines/>
      <w:pageBreakBefore/>
      <w:spacing w:line="240" w:lineRule="auto"/>
      <w:contextualSpacing w:val="0"/>
    </w:pPr>
    <w:rPr>
      <w:rFonts w:eastAsia="Times New Roman"/>
      <w:b/>
      <w:bCs/>
      <w:caps/>
      <w:sz w:val="28"/>
      <w:szCs w:val="28"/>
      <w:lang w:eastAsia="ru-RU"/>
    </w:rPr>
  </w:style>
  <w:style w:type="character" w:customStyle="1" w:styleId="10">
    <w:name w:val="_ЗАГОЛОВОК 1 Знак"/>
    <w:link w:val="1"/>
    <w:rsid w:val="00680186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a4">
    <w:name w:val="Абзац"/>
    <w:basedOn w:val="a0"/>
    <w:link w:val="a5"/>
    <w:qFormat/>
    <w:rsid w:val="00680186"/>
    <w:pPr>
      <w:spacing w:before="120" w:after="60" w:line="240" w:lineRule="auto"/>
      <w:ind w:firstLine="567"/>
      <w:jc w:val="both"/>
    </w:pPr>
    <w:rPr>
      <w:rFonts w:eastAsia="Times New Roman"/>
      <w:szCs w:val="24"/>
      <w:lang w:eastAsia="ru-RU"/>
    </w:rPr>
  </w:style>
  <w:style w:type="character" w:customStyle="1" w:styleId="a5">
    <w:name w:val="Абзац Знак"/>
    <w:link w:val="a4"/>
    <w:rsid w:val="0068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6"/>
    <w:rsid w:val="00680186"/>
    <w:pPr>
      <w:numPr>
        <w:numId w:val="5"/>
      </w:numPr>
      <w:spacing w:after="60" w:line="240" w:lineRule="auto"/>
      <w:jc w:val="both"/>
    </w:pPr>
    <w:rPr>
      <w:rFonts w:eastAsia="Times New Roman"/>
      <w:snapToGrid w:val="0"/>
      <w:szCs w:val="24"/>
      <w:lang w:val="x-none" w:eastAsia="x-none"/>
    </w:rPr>
  </w:style>
  <w:style w:type="character" w:customStyle="1" w:styleId="a6">
    <w:name w:val="Список Знак"/>
    <w:link w:val="a"/>
    <w:rsid w:val="0068018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s1">
    <w:name w:val="s_1"/>
    <w:basedOn w:val="a0"/>
    <w:rsid w:val="0068018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rsid w:val="008D065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8D065D"/>
    <w:rPr>
      <w:rFonts w:ascii="Times New Roman" w:eastAsia="Calibri" w:hAnsi="Times New Roman" w:cs="Times New Roman"/>
      <w:sz w:val="24"/>
    </w:rPr>
  </w:style>
  <w:style w:type="paragraph" w:styleId="a9">
    <w:name w:val="footer"/>
    <w:basedOn w:val="a0"/>
    <w:link w:val="aa"/>
    <w:uiPriority w:val="99"/>
    <w:unhideWhenUsed/>
    <w:rsid w:val="008D065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8D06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Исаева Екатерина Витальевна</dc:creator>
  <cp:keywords/>
  <dc:description/>
  <cp:lastModifiedBy>Исаева Екатерина Витальевна</cp:lastModifiedBy>
  <cp:revision>8</cp:revision>
  <dcterms:created xsi:type="dcterms:W3CDTF">2017-11-09T05:39:00Z</dcterms:created>
  <dcterms:modified xsi:type="dcterms:W3CDTF">2017-12-20T06:16:00Z</dcterms:modified>
</cp:coreProperties>
</file>